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020"/>
      </w:tblGrid>
      <w:tr w:rsidR="00DC0F3C" w:rsidTr="00DC0F3C">
        <w:trPr>
          <w:tblCellSpacing w:w="0" w:type="dxa"/>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C0F3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C0F3C">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4425"/>
                          <w:gridCol w:w="150"/>
                          <w:gridCol w:w="4425"/>
                        </w:tblGrid>
                        <w:tr w:rsidR="00DC0F3C">
                          <w:trPr>
                            <w:trHeight w:val="150"/>
                            <w:tblCellSpacing w:w="0" w:type="dxa"/>
                            <w:jc w:val="center"/>
                          </w:trPr>
                          <w:tc>
                            <w:tcPr>
                              <w:tcW w:w="4425"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4425"/>
                              </w:tblGrid>
                              <w:tr w:rsidR="00DC0F3C">
                                <w:trPr>
                                  <w:tblCellSpacing w:w="0" w:type="dxa"/>
                                  <w:jc w:val="center"/>
                                </w:trPr>
                                <w:tc>
                                  <w:tcPr>
                                    <w:tcW w:w="0" w:type="auto"/>
                                    <w:tcMar>
                                      <w:top w:w="525" w:type="dxa"/>
                                      <w:left w:w="0" w:type="dxa"/>
                                      <w:bottom w:w="525" w:type="dxa"/>
                                      <w:right w:w="0" w:type="dxa"/>
                                    </w:tcMar>
                                    <w:hideMark/>
                                  </w:tcPr>
                                  <w:p w:rsidR="00DC0F3C" w:rsidRDefault="00DC0F3C">
                                    <w:r>
                                      <w:rPr>
                                        <w:noProof/>
                                      </w:rPr>
                                      <w:fldChar w:fldCharType="begin"/>
                                    </w:r>
                                    <w:r>
                                      <w:rPr>
                                        <w:noProof/>
                                      </w:rPr>
                                      <w:instrText xml:space="preserve"> INCLUDEPICTURE "http://cdn.uploadlibrary.com/Advisory/templates/26e18e8eac56467c99c373d565204b28-1468333624.png" \* MERGEFORMATINET </w:instrText>
                                    </w:r>
                                    <w:r>
                                      <w:rPr>
                                        <w:noProof/>
                                      </w:rPr>
                                      <w:fldChar w:fldCharType="separate"/>
                                    </w:r>
                                    <w:r>
                                      <w:rPr>
                                        <w:noProof/>
                                      </w:rPr>
                                      <w:drawing>
                                        <wp:inline distT="0" distB="0" distL="0" distR="0">
                                          <wp:extent cx="2286000" cy="865505"/>
                                          <wp:effectExtent l="0" t="0" r="0" b="0"/>
                                          <wp:docPr id="10" name="Picture 10" descr="http://cdn.uploadlibrary.com/Advisory/templates/26e18e8eac56467c99c373d565204b28-1468333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uploadlibrary.com/Advisory/templates/26e18e8eac56467c99c373d565204b28-146833362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865505"/>
                                                  </a:xfrm>
                                                  <a:prstGeom prst="rect">
                                                    <a:avLst/>
                                                  </a:prstGeom>
                                                  <a:noFill/>
                                                  <a:ln>
                                                    <a:noFill/>
                                                  </a:ln>
                                                </pic:spPr>
                                              </pic:pic>
                                            </a:graphicData>
                                          </a:graphic>
                                        </wp:inline>
                                      </w:drawing>
                                    </w:r>
                                    <w:r>
                                      <w:rPr>
                                        <w:noProof/>
                                      </w:rPr>
                                      <w:fldChar w:fldCharType="end"/>
                                    </w:r>
                                  </w:p>
                                </w:tc>
                              </w:tr>
                            </w:tbl>
                            <w:p w:rsidR="00DC0F3C" w:rsidRDefault="00DC0F3C">
                              <w:pPr>
                                <w:jc w:val="center"/>
                                <w:rPr>
                                  <w:rFonts w:eastAsia="Times New Roman"/>
                                  <w:sz w:val="20"/>
                                  <w:szCs w:val="20"/>
                                </w:rPr>
                              </w:pPr>
                            </w:p>
                          </w:tc>
                          <w:tc>
                            <w:tcPr>
                              <w:tcW w:w="150" w:type="dxa"/>
                              <w:vAlign w:val="center"/>
                              <w:hideMark/>
                            </w:tcPr>
                            <w:p w:rsidR="00DC0F3C" w:rsidRDefault="00DC0F3C">
                              <w:pPr>
                                <w:jc w:val="center"/>
                              </w:pPr>
                              <w:r>
                                <w:rPr>
                                  <w:b/>
                                  <w:bCs/>
                                  <w:sz w:val="2"/>
                                  <w:szCs w:val="2"/>
                                </w:rPr>
                                <w:t> </w:t>
                              </w:r>
                            </w:p>
                          </w:tc>
                          <w:tc>
                            <w:tcPr>
                              <w:tcW w:w="4425" w:type="dxa"/>
                              <w:tcMar>
                                <w:top w:w="15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425"/>
                              </w:tblGrid>
                              <w:tr w:rsidR="00DC0F3C">
                                <w:trPr>
                                  <w:tblCellSpacing w:w="0" w:type="dxa"/>
                                  <w:jc w:val="center"/>
                                </w:trPr>
                                <w:tc>
                                  <w:tcPr>
                                    <w:tcW w:w="0" w:type="auto"/>
                                    <w:tcMar>
                                      <w:top w:w="0" w:type="dxa"/>
                                      <w:left w:w="0" w:type="dxa"/>
                                      <w:bottom w:w="150" w:type="dxa"/>
                                      <w:right w:w="525" w:type="dxa"/>
                                    </w:tcMar>
                                    <w:hideMark/>
                                  </w:tcPr>
                                  <w:p w:rsidR="00DC0F3C" w:rsidRDefault="00DC0F3C">
                                    <w:pPr>
                                      <w:jc w:val="right"/>
                                    </w:pPr>
                                    <w:r>
                                      <w:rPr>
                                        <w:noProof/>
                                      </w:rPr>
                                      <w:fldChar w:fldCharType="begin"/>
                                    </w:r>
                                    <w:r>
                                      <w:rPr>
                                        <w:noProof/>
                                      </w:rPr>
                                      <w:instrText xml:space="preserve"> INCLUDEPICTURE "http://cdn.uploadlibrary.com/Advisory/templates/red_down.png" \* MERGEFORMATINET </w:instrText>
                                    </w:r>
                                    <w:r>
                                      <w:rPr>
                                        <w:noProof/>
                                      </w:rPr>
                                      <w:fldChar w:fldCharType="separate"/>
                                    </w:r>
                                    <w:r>
                                      <w:rPr>
                                        <w:noProof/>
                                      </w:rPr>
                                      <w:drawing>
                                        <wp:inline distT="0" distB="0" distL="0" distR="0">
                                          <wp:extent cx="252730" cy="1069975"/>
                                          <wp:effectExtent l="0" t="0" r="1270" b="0"/>
                                          <wp:docPr id="9" name="Picture 9" descr="http://cdn.uploadlibrary.com/Advisory/templates/red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uploadlibrary.com/Advisory/templates/red_dow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30" cy="1069975"/>
                                                  </a:xfrm>
                                                  <a:prstGeom prst="rect">
                                                    <a:avLst/>
                                                  </a:prstGeom>
                                                  <a:noFill/>
                                                  <a:ln>
                                                    <a:noFill/>
                                                  </a:ln>
                                                </pic:spPr>
                                              </pic:pic>
                                            </a:graphicData>
                                          </a:graphic>
                                        </wp:inline>
                                      </w:drawing>
                                    </w:r>
                                    <w:r>
                                      <w:rPr>
                                        <w:noProof/>
                                      </w:rPr>
                                      <w:fldChar w:fldCharType="end"/>
                                    </w: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r w:rsidR="00DC0F3C" w:rsidTr="00DC0F3C">
        <w:trPr>
          <w:tblCellSpacing w:w="0" w:type="dxa"/>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20"/>
            </w:tblGrid>
            <w:tr w:rsidR="00DC0F3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0"/>
                  </w:tblGrid>
                  <w:tr w:rsidR="00DC0F3C">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20"/>
                        </w:tblGrid>
                        <w:tr w:rsidR="00DC0F3C">
                          <w:trPr>
                            <w:tblCellSpacing w:w="0" w:type="dxa"/>
                            <w:jc w:val="center"/>
                          </w:trPr>
                          <w:tc>
                            <w:tcPr>
                              <w:tcW w:w="90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20"/>
                              </w:tblGrid>
                              <w:tr w:rsidR="00DC0F3C">
                                <w:trPr>
                                  <w:tblCellSpacing w:w="0" w:type="dxa"/>
                                  <w:jc w:val="center"/>
                                </w:trPr>
                                <w:tc>
                                  <w:tcPr>
                                    <w:tcW w:w="0" w:type="auto"/>
                                    <w:shd w:val="clear" w:color="auto" w:fill="73C9E4"/>
                                    <w:tcMar>
                                      <w:top w:w="150" w:type="dxa"/>
                                      <w:left w:w="300" w:type="dxa"/>
                                      <w:bottom w:w="150" w:type="dxa"/>
                                      <w:right w:w="300" w:type="dxa"/>
                                    </w:tcMar>
                                    <w:hideMark/>
                                  </w:tcPr>
                                  <w:p w:rsidR="00DC0F3C" w:rsidRDefault="00DC0F3C">
                                    <w:pPr>
                                      <w:spacing w:after="150"/>
                                    </w:pPr>
                                    <w:r>
                                      <w:rPr>
                                        <w:rFonts w:ascii="Trebuchet MS" w:hAnsi="Trebuchet MS"/>
                                        <w:b/>
                                        <w:bCs/>
                                        <w:color w:val="FFFFFF"/>
                                        <w:sz w:val="30"/>
                                        <w:szCs w:val="30"/>
                                      </w:rPr>
                                      <w:t>PROCURE 22 - VAT UPDATE SEMINAR</w:t>
                                    </w:r>
                                    <w:r>
                                      <w:rPr>
                                        <w:rFonts w:ascii="Arial" w:hAnsi="Arial" w:cs="Arial"/>
                                        <w:b/>
                                        <w:bCs/>
                                        <w:color w:val="FFFFFF"/>
                                        <w:sz w:val="30"/>
                                        <w:szCs w:val="30"/>
                                      </w:rPr>
                                      <w:t>​</w:t>
                                    </w:r>
                                  </w:p>
                                </w:tc>
                              </w:tr>
                              <w:tr w:rsidR="00DC0F3C">
                                <w:trPr>
                                  <w:tblCellSpacing w:w="0" w:type="dxa"/>
                                  <w:jc w:val="center"/>
                                </w:trPr>
                                <w:tc>
                                  <w:tcPr>
                                    <w:tcW w:w="0" w:type="auto"/>
                                    <w:hideMark/>
                                  </w:tcPr>
                                  <w:p w:rsidR="00DC0F3C" w:rsidRDefault="00DC0F3C">
                                    <w:pPr>
                                      <w:jc w:val="center"/>
                                    </w:pPr>
                                    <w:r>
                                      <w:rPr>
                                        <w:noProof/>
                                      </w:rPr>
                                      <w:fldChar w:fldCharType="begin"/>
                                    </w:r>
                                    <w:r>
                                      <w:rPr>
                                        <w:noProof/>
                                      </w:rPr>
                                      <w:instrText xml:space="preserve"> INCLUDEPICTURE "https://cdn.uploadlibrary.com/NorthEast/Healthcare/Healthcare.jpg" \* MERGEFORMATINET </w:instrText>
                                    </w:r>
                                    <w:r>
                                      <w:rPr>
                                        <w:noProof/>
                                      </w:rPr>
                                      <w:fldChar w:fldCharType="separate"/>
                                    </w:r>
                                    <w:r>
                                      <w:rPr>
                                        <w:noProof/>
                                      </w:rPr>
                                      <w:drawing>
                                        <wp:inline distT="0" distB="0" distL="0" distR="0">
                                          <wp:extent cx="5727700" cy="3818890"/>
                                          <wp:effectExtent l="0" t="0" r="0" b="3810"/>
                                          <wp:docPr id="8" name="Picture 8" descr="https://cdn.uploadlibrary.com/NorthEast/Healthcare/Health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uploadlibrary.com/NorthEast/Healthcare/Healthca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818890"/>
                                                  </a:xfrm>
                                                  <a:prstGeom prst="rect">
                                                    <a:avLst/>
                                                  </a:prstGeom>
                                                  <a:noFill/>
                                                  <a:ln>
                                                    <a:noFill/>
                                                  </a:ln>
                                                </pic:spPr>
                                              </pic:pic>
                                            </a:graphicData>
                                          </a:graphic>
                                        </wp:inline>
                                      </w:drawing>
                                    </w:r>
                                    <w:r>
                                      <w:rPr>
                                        <w:noProof/>
                                      </w:rPr>
                                      <w:fldChar w:fldCharType="end"/>
                                    </w: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r w:rsidR="00DC0F3C" w:rsidTr="00DC0F3C">
        <w:trPr>
          <w:tblCellSpacing w:w="0" w:type="dxa"/>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C0F3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C0F3C">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C0F3C">
                          <w:trPr>
                            <w:tblCellSpacing w:w="0" w:type="dxa"/>
                            <w:jc w:val="center"/>
                          </w:trPr>
                          <w:tc>
                            <w:tcPr>
                              <w:tcW w:w="8700" w:type="dxa"/>
                              <w:tcMar>
                                <w:top w:w="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DC0F3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DC0F3C">
                                      <w:trPr>
                                        <w:trHeight w:val="15"/>
                                        <w:tblCellSpacing w:w="0" w:type="dxa"/>
                                        <w:jc w:val="center"/>
                                      </w:trPr>
                                      <w:tc>
                                        <w:tcPr>
                                          <w:tcW w:w="0" w:type="auto"/>
                                          <w:tcMar>
                                            <w:top w:w="150" w:type="dxa"/>
                                            <w:left w:w="0" w:type="dxa"/>
                                            <w:bottom w:w="0" w:type="dxa"/>
                                            <w:right w:w="0" w:type="dxa"/>
                                          </w:tcMar>
                                          <w:vAlign w:val="center"/>
                                          <w:hideMark/>
                                        </w:tcPr>
                                        <w:p w:rsidR="00DC0F3C" w:rsidRDefault="00DC0F3C">
                                          <w:r>
                                            <w:rPr>
                                              <w:sz w:val="2"/>
                                              <w:szCs w:val="2"/>
                                            </w:rPr>
                                            <w:t> </w:t>
                                          </w:r>
                                        </w:p>
                                      </w:tc>
                                    </w:tr>
                                    <w:tr w:rsidR="00DC0F3C">
                                      <w:trPr>
                                        <w:tblCellSpacing w:w="0" w:type="dxa"/>
                                        <w:jc w:val="center"/>
                                      </w:trPr>
                                      <w:tc>
                                        <w:tcPr>
                                          <w:tcW w:w="0" w:type="auto"/>
                                          <w:tcMar>
                                            <w:top w:w="0" w:type="dxa"/>
                                            <w:left w:w="0" w:type="dxa"/>
                                            <w:bottom w:w="150" w:type="dxa"/>
                                            <w:right w:w="0" w:type="dxa"/>
                                          </w:tcMar>
                                          <w:vAlign w:val="center"/>
                                          <w:hideMark/>
                                        </w:tcPr>
                                        <w:p w:rsidR="00DC0F3C" w:rsidRDefault="00DC0F3C">
                                          <w:r>
                                            <w:rPr>
                                              <w:sz w:val="2"/>
                                              <w:szCs w:val="2"/>
                                            </w:rPr>
                                            <w:t> </w:t>
                                          </w: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r w:rsidR="00DC0F3C" w:rsidTr="00DC0F3C">
        <w:trPr>
          <w:tblCellSpacing w:w="0" w:type="dxa"/>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C0F3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C0F3C">
                    <w:trPr>
                      <w:tblCellSpacing w:w="0" w:type="dxa"/>
                      <w:jc w:val="center"/>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4419"/>
                          <w:gridCol w:w="161"/>
                          <w:gridCol w:w="4420"/>
                        </w:tblGrid>
                        <w:tr w:rsidR="00DC0F3C">
                          <w:trPr>
                            <w:trHeight w:val="150"/>
                            <w:tblCellSpacing w:w="0" w:type="dxa"/>
                            <w:jc w:val="center"/>
                          </w:trPr>
                          <w:tc>
                            <w:tcPr>
                              <w:tcW w:w="4125"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419"/>
                              </w:tblGrid>
                              <w:tr w:rsidR="00DC0F3C">
                                <w:trPr>
                                  <w:tblCellSpacing w:w="0" w:type="dxa"/>
                                  <w:jc w:val="center"/>
                                </w:trPr>
                                <w:tc>
                                  <w:tcPr>
                                    <w:tcW w:w="0" w:type="auto"/>
                                    <w:tcMar>
                                      <w:top w:w="0" w:type="dxa"/>
                                      <w:left w:w="0" w:type="dxa"/>
                                      <w:bottom w:w="150" w:type="dxa"/>
                                      <w:right w:w="0" w:type="dxa"/>
                                    </w:tcMar>
                                    <w:hideMark/>
                                  </w:tcPr>
                                  <w:p w:rsidR="00DC0F3C" w:rsidRDefault="00DC0F3C">
                                    <w:r>
                                      <w:rPr>
                                        <w:rFonts w:ascii="Trebuchet MS" w:hAnsi="Trebuchet MS"/>
                                        <w:color w:val="5E4F4A"/>
                                        <w:sz w:val="18"/>
                                        <w:szCs w:val="18"/>
                                      </w:rPr>
                                      <w:t>Following the success of previous P21+ VAT seminars, the BDO VAT team, would like to invite you to attend our ProCure22 VAT Update seminar at the BDO offices in London on Monday 10 September 2018.</w:t>
                                    </w:r>
                                  </w:p>
                                  <w:p w:rsidR="00DC0F3C" w:rsidRDefault="00DC0F3C">
                                    <w:r>
                                      <w:rPr>
                                        <w:rFonts w:ascii="Trebuchet MS" w:hAnsi="Trebuchet MS"/>
                                        <w:color w:val="5E4F4A"/>
                                        <w:sz w:val="18"/>
                                        <w:szCs w:val="18"/>
                                      </w:rPr>
                                      <w:t> </w:t>
                                    </w:r>
                                  </w:p>
                                  <w:p w:rsidR="00DC0F3C" w:rsidRDefault="00DC0F3C">
                                    <w:r>
                                      <w:rPr>
                                        <w:rFonts w:ascii="Trebuchet MS" w:hAnsi="Trebuchet MS"/>
                                        <w:color w:val="5E4F4A"/>
                                        <w:sz w:val="18"/>
                                        <w:szCs w:val="18"/>
                                      </w:rPr>
                                      <w:t>As well as providing insight and discussion on the current VAT position of the P22 Framework the team will update you on HM Revenue &amp; Customs latest thinking and approach to project submissions.</w:t>
                                    </w:r>
                                  </w:p>
                                  <w:p w:rsidR="00DC0F3C" w:rsidRDefault="00DC0F3C">
                                    <w:r>
                                      <w:rPr>
                                        <w:rFonts w:ascii="Trebuchet MS" w:hAnsi="Trebuchet MS"/>
                                        <w:color w:val="5E4F4A"/>
                                        <w:sz w:val="18"/>
                                        <w:szCs w:val="18"/>
                                      </w:rPr>
                                      <w:t> </w:t>
                                    </w:r>
                                  </w:p>
                                  <w:p w:rsidR="00DC0F3C" w:rsidRDefault="00DC0F3C">
                                    <w:r>
                                      <w:rPr>
                                        <w:rFonts w:ascii="Trebuchet MS" w:hAnsi="Trebuchet MS"/>
                                        <w:color w:val="5E4F4A"/>
                                        <w:sz w:val="18"/>
                                        <w:szCs w:val="18"/>
                                      </w:rPr>
                                      <w:t>Chris and the team will walk you through the process of document submission, preparation and timing of claims, meeting statutory deadlines and they will also provide guidance on ways to ensure that claims filed meet HM Revenue &amp; Customs obligations whilst ensuring optimum VAT recoveries. There will also be an opportunity to put questions to our keynote speakers.</w:t>
                                    </w:r>
                                  </w:p>
                                </w:tc>
                              </w:tr>
                              <w:tr w:rsidR="00DC0F3C">
                                <w:trPr>
                                  <w:tblCellSpacing w:w="0" w:type="dxa"/>
                                  <w:jc w:val="center"/>
                                </w:trPr>
                                <w:tc>
                                  <w:tcPr>
                                    <w:tcW w:w="0" w:type="auto"/>
                                    <w:shd w:val="clear" w:color="auto" w:fill="E3F4FA"/>
                                    <w:tcMar>
                                      <w:top w:w="150" w:type="dxa"/>
                                      <w:left w:w="150" w:type="dxa"/>
                                      <w:bottom w:w="150" w:type="dxa"/>
                                      <w:right w:w="150" w:type="dxa"/>
                                    </w:tcMar>
                                    <w:hideMark/>
                                  </w:tcPr>
                                  <w:p w:rsidR="00DC0F3C" w:rsidRDefault="00DC0F3C">
                                    <w:pPr>
                                      <w:spacing w:after="150"/>
                                    </w:pPr>
                                    <w:r>
                                      <w:rPr>
                                        <w:rFonts w:ascii="Trebuchet MS" w:hAnsi="Trebuchet MS"/>
                                        <w:b/>
                                        <w:bCs/>
                                        <w:color w:val="73C9E4"/>
                                        <w:sz w:val="18"/>
                                        <w:szCs w:val="18"/>
                                      </w:rPr>
                                      <w:lastRenderedPageBreak/>
                                      <w:t>AGENDA: </w:t>
                                    </w:r>
                                  </w:p>
                                  <w:p w:rsidR="00DC0F3C" w:rsidRDefault="00DC0F3C" w:rsidP="00E1536D">
                                    <w:pPr>
                                      <w:numPr>
                                        <w:ilvl w:val="0"/>
                                        <w:numId w:val="1"/>
                                      </w:numPr>
                                      <w:spacing w:before="100" w:beforeAutospacing="1" w:after="100" w:afterAutospacing="1"/>
                                      <w:rPr>
                                        <w:rFonts w:eastAsia="Times New Roman"/>
                                        <w:color w:val="5E4F4A"/>
                                      </w:rPr>
                                    </w:pPr>
                                    <w:r>
                                      <w:rPr>
                                        <w:rFonts w:ascii="Trebuchet MS" w:eastAsia="Times New Roman" w:hAnsi="Trebuchet MS"/>
                                        <w:color w:val="5E4F4A"/>
                                        <w:sz w:val="18"/>
                                        <w:szCs w:val="18"/>
                                      </w:rPr>
                                      <w:t>Latest thinking from HM Revenue &amp; Customs on project submissions and compliance</w:t>
                                    </w:r>
                                  </w:p>
                                  <w:p w:rsidR="00DC0F3C" w:rsidRDefault="00DC0F3C" w:rsidP="00E1536D">
                                    <w:pPr>
                                      <w:numPr>
                                        <w:ilvl w:val="0"/>
                                        <w:numId w:val="1"/>
                                      </w:numPr>
                                      <w:spacing w:before="100" w:beforeAutospacing="1" w:after="100" w:afterAutospacing="1"/>
                                      <w:rPr>
                                        <w:rFonts w:eastAsia="Times New Roman"/>
                                        <w:color w:val="5E4F4A"/>
                                      </w:rPr>
                                    </w:pPr>
                                    <w:r>
                                      <w:rPr>
                                        <w:rFonts w:ascii="Trebuchet MS" w:eastAsia="Times New Roman" w:hAnsi="Trebuchet MS"/>
                                        <w:color w:val="5E4F4A"/>
                                        <w:sz w:val="18"/>
                                        <w:szCs w:val="18"/>
                                      </w:rPr>
                                      <w:t>Meeting the obligations of the Framework from a VAT viewpoint</w:t>
                                    </w:r>
                                  </w:p>
                                  <w:p w:rsidR="00DC0F3C" w:rsidRDefault="00DC0F3C" w:rsidP="00E1536D">
                                    <w:pPr>
                                      <w:numPr>
                                        <w:ilvl w:val="0"/>
                                        <w:numId w:val="1"/>
                                      </w:numPr>
                                      <w:spacing w:before="100" w:beforeAutospacing="1" w:after="100" w:afterAutospacing="1"/>
                                      <w:rPr>
                                        <w:rFonts w:eastAsia="Times New Roman"/>
                                        <w:color w:val="5E4F4A"/>
                                      </w:rPr>
                                    </w:pPr>
                                    <w:r>
                                      <w:rPr>
                                        <w:rFonts w:ascii="Trebuchet MS" w:eastAsia="Times New Roman" w:hAnsi="Trebuchet MS"/>
                                        <w:color w:val="5E4F4A"/>
                                        <w:sz w:val="18"/>
                                        <w:szCs w:val="18"/>
                                      </w:rPr>
                                      <w:t>VAT forecasting, recovery calculation approaches and successfully tying together claims for submission</w:t>
                                    </w:r>
                                  </w:p>
                                  <w:p w:rsidR="00DC0F3C" w:rsidRDefault="00DC0F3C" w:rsidP="00E1536D">
                                    <w:pPr>
                                      <w:numPr>
                                        <w:ilvl w:val="0"/>
                                        <w:numId w:val="1"/>
                                      </w:numPr>
                                      <w:spacing w:before="100" w:beforeAutospacing="1" w:after="100" w:afterAutospacing="1"/>
                                      <w:rPr>
                                        <w:rFonts w:eastAsia="Times New Roman"/>
                                        <w:color w:val="5E4F4A"/>
                                      </w:rPr>
                                    </w:pPr>
                                    <w:r>
                                      <w:rPr>
                                        <w:rFonts w:ascii="Trebuchet MS" w:eastAsia="Times New Roman" w:hAnsi="Trebuchet MS"/>
                                        <w:color w:val="5E4F4A"/>
                                        <w:sz w:val="18"/>
                                        <w:szCs w:val="18"/>
                                      </w:rPr>
                                      <w:t>Dealing with HM Revenue challenges</w:t>
                                    </w:r>
                                  </w:p>
                                  <w:p w:rsidR="00DC0F3C" w:rsidRDefault="00DC0F3C" w:rsidP="00E1536D">
                                    <w:pPr>
                                      <w:numPr>
                                        <w:ilvl w:val="0"/>
                                        <w:numId w:val="1"/>
                                      </w:numPr>
                                      <w:spacing w:before="100" w:beforeAutospacing="1" w:after="100" w:afterAutospacing="1"/>
                                      <w:rPr>
                                        <w:rFonts w:eastAsia="Times New Roman"/>
                                        <w:color w:val="5E4F4A"/>
                                      </w:rPr>
                                    </w:pPr>
                                    <w:r>
                                      <w:rPr>
                                        <w:rFonts w:ascii="Trebuchet MS" w:eastAsia="Times New Roman" w:hAnsi="Trebuchet MS"/>
                                        <w:color w:val="5E4F4A"/>
                                        <w:sz w:val="18"/>
                                        <w:szCs w:val="18"/>
                                      </w:rPr>
                                      <w:t>Question and answer session</w:t>
                                    </w:r>
                                    <w:r>
                                      <w:rPr>
                                        <w:rFonts w:ascii="Arial" w:eastAsia="Times New Roman" w:hAnsi="Arial" w:cs="Arial"/>
                                        <w:color w:val="5E4F4A"/>
                                        <w:sz w:val="18"/>
                                        <w:szCs w:val="18"/>
                                      </w:rPr>
                                      <w:t>​</w:t>
                                    </w:r>
                                  </w:p>
                                </w:tc>
                              </w:tr>
                              <w:tr w:rsidR="00DC0F3C">
                                <w:trPr>
                                  <w:tblCellSpacing w:w="0" w:type="dxa"/>
                                  <w:jc w:val="center"/>
                                </w:trPr>
                                <w:tc>
                                  <w:tcPr>
                                    <w:tcW w:w="0" w:type="auto"/>
                                    <w:tcMar>
                                      <w:top w:w="300" w:type="dxa"/>
                                      <w:left w:w="0" w:type="dxa"/>
                                      <w:bottom w:w="150" w:type="dxa"/>
                                      <w:right w:w="0" w:type="dxa"/>
                                    </w:tcMar>
                                    <w:hideMark/>
                                  </w:tcPr>
                                  <w:p w:rsidR="00DC0F3C" w:rsidRDefault="00DC0F3C">
                                    <w:r>
                                      <w:rPr>
                                        <w:rFonts w:ascii="Trebuchet MS" w:hAnsi="Trebuchet MS"/>
                                        <w:color w:val="5E4F4A"/>
                                        <w:sz w:val="18"/>
                                        <w:szCs w:val="18"/>
                                      </w:rPr>
                                      <w:t>This event will also provide an opportunity for you to network with Cost Advisers, NHS Trusts and suppliers within the broader Healthcare sector as well as the nationally appointed P22 VAT specialists from BDO.</w:t>
                                    </w:r>
                                  </w:p>
                                  <w:p w:rsidR="00DC0F3C" w:rsidRDefault="00DC0F3C">
                                    <w:r>
                                      <w:rPr>
                                        <w:rFonts w:ascii="Trebuchet MS" w:hAnsi="Trebuchet MS"/>
                                        <w:color w:val="5E4F4A"/>
                                        <w:sz w:val="18"/>
                                        <w:szCs w:val="18"/>
                                      </w:rPr>
                                      <w:t> </w:t>
                                    </w:r>
                                  </w:p>
                                  <w:p w:rsidR="00DC0F3C" w:rsidRDefault="00DC0F3C">
                                    <w:r>
                                      <w:rPr>
                                        <w:rFonts w:ascii="Trebuchet MS" w:hAnsi="Trebuchet MS"/>
                                        <w:color w:val="5E4F4A"/>
                                        <w:sz w:val="18"/>
                                        <w:szCs w:val="18"/>
                                      </w:rPr>
                                      <w:t>Places are limited so please submit your responses to this invitation as soon as possible. Please do feel free to forward this invitation to any colleagues or contacts who may be interested in attending this </w:t>
                                    </w:r>
                                  </w:p>
                                  <w:p w:rsidR="00DC0F3C" w:rsidRDefault="00DC0F3C">
                                    <w:r>
                                      <w:rPr>
                                        <w:rFonts w:ascii="Trebuchet MS" w:hAnsi="Trebuchet MS"/>
                                        <w:color w:val="5E4F4A"/>
                                        <w:sz w:val="18"/>
                                        <w:szCs w:val="18"/>
                                      </w:rPr>
                                      <w:t> </w:t>
                                    </w:r>
                                  </w:p>
                                  <w:p w:rsidR="00DC0F3C" w:rsidRDefault="00DC0F3C">
                                    <w:r>
                                      <w:rPr>
                                        <w:rFonts w:ascii="Trebuchet MS" w:hAnsi="Trebuchet MS"/>
                                        <w:color w:val="5E4F4A"/>
                                        <w:sz w:val="18"/>
                                        <w:szCs w:val="18"/>
                                      </w:rPr>
                                      <w:t>Kind regards,</w:t>
                                    </w:r>
                                  </w:p>
                                  <w:p w:rsidR="00DC0F3C" w:rsidRDefault="00DC0F3C">
                                    <w:r>
                                      <w:rPr>
                                        <w:rFonts w:ascii="Arial" w:hAnsi="Arial" w:cs="Arial"/>
                                        <w:color w:val="5E4F4A"/>
                                        <w:sz w:val="18"/>
                                        <w:szCs w:val="18"/>
                                      </w:rPr>
                                      <w:t>​</w:t>
                                    </w:r>
                                  </w:p>
                                  <w:p w:rsidR="00DC0F3C" w:rsidRDefault="00DC0F3C">
                                    <w:r>
                                      <w:rPr>
                                        <w:rFonts w:ascii="Trebuchet MS" w:hAnsi="Trebuchet MS"/>
                                        <w:color w:val="5E4F4A"/>
                                        <w:sz w:val="18"/>
                                        <w:szCs w:val="18"/>
                                      </w:rPr>
                                      <w:t>Lyndon Firth</w:t>
                                    </w:r>
                                    <w:r>
                                      <w:rPr>
                                        <w:rFonts w:ascii="Trebuchet MS" w:hAnsi="Trebuchet MS"/>
                                        <w:color w:val="5E4F4A"/>
                                        <w:sz w:val="18"/>
                                        <w:szCs w:val="18"/>
                                      </w:rPr>
                                      <w:br/>
                                      <w:t>VAT Director</w:t>
                                    </w:r>
                                  </w:p>
                                </w:tc>
                              </w:tr>
                              <w:tr w:rsidR="00DC0F3C">
                                <w:trPr>
                                  <w:tblCellSpacing w:w="0" w:type="dxa"/>
                                  <w:jc w:val="center"/>
                                </w:trPr>
                                <w:tc>
                                  <w:tcPr>
                                    <w:tcW w:w="0" w:type="auto"/>
                                    <w:tcMar>
                                      <w:top w:w="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419"/>
                                    </w:tblGrid>
                                    <w:tr w:rsidR="00DC0F3C">
                                      <w:trPr>
                                        <w:tblCellSpacing w:w="0" w:type="dxa"/>
                                        <w:jc w:val="center"/>
                                      </w:trPr>
                                      <w:tc>
                                        <w:tcPr>
                                          <w:tcW w:w="0" w:type="auto"/>
                                          <w:shd w:val="clear" w:color="auto" w:fill="5E4F4A"/>
                                          <w:tcMar>
                                            <w:top w:w="150" w:type="dxa"/>
                                            <w:left w:w="150" w:type="dxa"/>
                                            <w:bottom w:w="150" w:type="dxa"/>
                                            <w:right w:w="150" w:type="dxa"/>
                                          </w:tcMar>
                                          <w:vAlign w:val="center"/>
                                          <w:hideMark/>
                                        </w:tcPr>
                                        <w:p w:rsidR="00DC0F3C" w:rsidRDefault="00DC0F3C">
                                          <w:pPr>
                                            <w:jc w:val="center"/>
                                          </w:pPr>
                                          <w:hyperlink r:id="rId8" w:history="1">
                                            <w:r>
                                              <w:rPr>
                                                <w:rStyle w:val="Hyperlink"/>
                                                <w:rFonts w:ascii="Trebuchet MS" w:hAnsi="Trebuchet MS"/>
                                                <w:b/>
                                                <w:bCs/>
                                                <w:color w:val="FFFFFE"/>
                                                <w:sz w:val="21"/>
                                                <w:szCs w:val="21"/>
                                                <w:bdr w:val="none" w:sz="0" w:space="0" w:color="auto" w:frame="1"/>
                                              </w:rPr>
                                              <w:t>contact Lyndon Firth</w:t>
                                            </w:r>
                                          </w:hyperlink>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c>
                            <w:tcPr>
                              <w:tcW w:w="150" w:type="dxa"/>
                              <w:vAlign w:val="center"/>
                              <w:hideMark/>
                            </w:tcPr>
                            <w:p w:rsidR="00DC0F3C" w:rsidRDefault="00DC0F3C">
                              <w:pPr>
                                <w:jc w:val="center"/>
                              </w:pPr>
                              <w:r>
                                <w:rPr>
                                  <w:b/>
                                  <w:bCs/>
                                  <w:sz w:val="2"/>
                                  <w:szCs w:val="2"/>
                                </w:rPr>
                                <w:lastRenderedPageBreak/>
                                <w:t> </w:t>
                              </w:r>
                            </w:p>
                          </w:tc>
                          <w:tc>
                            <w:tcPr>
                              <w:tcW w:w="4125"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420"/>
                              </w:tblGrid>
                              <w:tr w:rsidR="00DC0F3C">
                                <w:trPr>
                                  <w:tblCellSpacing w:w="0" w:type="dxa"/>
                                  <w:jc w:val="center"/>
                                </w:trPr>
                                <w:tc>
                                  <w:tcPr>
                                    <w:tcW w:w="0" w:type="auto"/>
                                    <w:shd w:val="clear" w:color="auto" w:fill="73C9E4"/>
                                    <w:tcMar>
                                      <w:top w:w="150" w:type="dxa"/>
                                      <w:left w:w="150" w:type="dxa"/>
                                      <w:bottom w:w="150" w:type="dxa"/>
                                      <w:right w:w="150" w:type="dxa"/>
                                    </w:tcMar>
                                    <w:hideMark/>
                                  </w:tcPr>
                                  <w:p w:rsidR="00DC0F3C" w:rsidRDefault="00DC0F3C">
                                    <w:pPr>
                                      <w:jc w:val="center"/>
                                    </w:pPr>
                                    <w:r>
                                      <w:rPr>
                                        <w:rFonts w:ascii="Trebuchet MS" w:hAnsi="Trebuchet MS"/>
                                        <w:color w:val="FFFFFF"/>
                                        <w:sz w:val="18"/>
                                        <w:szCs w:val="18"/>
                                      </w:rPr>
                                      <w:t>September</w:t>
                                    </w:r>
                                  </w:p>
                                  <w:p w:rsidR="00DC0F3C" w:rsidRDefault="00DC0F3C">
                                    <w:pPr>
                                      <w:jc w:val="center"/>
                                    </w:pPr>
                                    <w:r>
                                      <w:rPr>
                                        <w:rFonts w:ascii="Trebuchet MS" w:hAnsi="Trebuchet MS"/>
                                        <w:color w:val="FFFFFF"/>
                                        <w:sz w:val="39"/>
                                        <w:szCs w:val="39"/>
                                      </w:rPr>
                                      <w:t>10</w:t>
                                    </w:r>
                                  </w:p>
                                </w:tc>
                              </w:tr>
                              <w:tr w:rsidR="00DC0F3C">
                                <w:trPr>
                                  <w:tblCellSpacing w:w="0" w:type="dxa"/>
                                  <w:jc w:val="center"/>
                                </w:trPr>
                                <w:tc>
                                  <w:tcPr>
                                    <w:tcW w:w="0" w:type="auto"/>
                                    <w:shd w:val="clear" w:color="auto" w:fill="E3F4FA"/>
                                    <w:tcMar>
                                      <w:top w:w="150" w:type="dxa"/>
                                      <w:left w:w="150" w:type="dxa"/>
                                      <w:bottom w:w="150" w:type="dxa"/>
                                      <w:right w:w="150" w:type="dxa"/>
                                    </w:tcMar>
                                    <w:hideMark/>
                                  </w:tcPr>
                                  <w:p w:rsidR="00DC0F3C" w:rsidRDefault="00DC0F3C">
                                    <w:r>
                                      <w:rPr>
                                        <w:rFonts w:ascii="Trebuchet MS" w:hAnsi="Trebuchet MS"/>
                                        <w:b/>
                                        <w:bCs/>
                                        <w:color w:val="FF0000"/>
                                        <w:sz w:val="18"/>
                                        <w:szCs w:val="18"/>
                                      </w:rPr>
                                      <w:t>PROCURE 22 - VAT UPDATE</w:t>
                                    </w:r>
                                    <w:r>
                                      <w:rPr>
                                        <w:rFonts w:ascii="Trebuchet MS" w:hAnsi="Trebuchet MS"/>
                                        <w:color w:val="5E4F4A"/>
                                        <w:sz w:val="18"/>
                                        <w:szCs w:val="18"/>
                                      </w:rPr>
                                      <w:br/>
                                      <w:t>Afternoon seminar</w:t>
                                    </w:r>
                                    <w:r>
                                      <w:rPr>
                                        <w:rFonts w:ascii="Trebuchet MS" w:hAnsi="Trebuchet MS"/>
                                        <w:color w:val="5E4F4A"/>
                                        <w:sz w:val="18"/>
                                        <w:szCs w:val="18"/>
                                      </w:rPr>
                                      <w:br/>
                                      <w:t>12:30 - 15:00</w:t>
                                    </w:r>
                                  </w:p>
                                </w:tc>
                              </w:tr>
                              <w:tr w:rsidR="00DC0F3C">
                                <w:trPr>
                                  <w:tblCellSpacing w:w="0" w:type="dxa"/>
                                  <w:jc w:val="center"/>
                                </w:trPr>
                                <w:tc>
                                  <w:tcPr>
                                    <w:tcW w:w="0" w:type="auto"/>
                                    <w:tcMar>
                                      <w:top w:w="0" w:type="dxa"/>
                                      <w:left w:w="0" w:type="dxa"/>
                                      <w:bottom w:w="150" w:type="dxa"/>
                                      <w:right w:w="0" w:type="dxa"/>
                                    </w:tcMar>
                                    <w:hideMark/>
                                  </w:tcPr>
                                  <w:p w:rsidR="00DC0F3C" w:rsidRDefault="00DC0F3C">
                                    <w:r>
                                      <w:rPr>
                                        <w:rFonts w:ascii="Arial" w:hAnsi="Arial" w:cs="Arial"/>
                                        <w:color w:val="5E4F4A"/>
                                        <w:sz w:val="18"/>
                                        <w:szCs w:val="18"/>
                                      </w:rPr>
                                      <w:t>​</w:t>
                                    </w:r>
                                  </w:p>
                                </w:tc>
                              </w:tr>
                              <w:tr w:rsidR="00DC0F3C">
                                <w:trPr>
                                  <w:tblCellSpacing w:w="0" w:type="dxa"/>
                                  <w:jc w:val="center"/>
                                </w:trPr>
                                <w:tc>
                                  <w:tcPr>
                                    <w:tcW w:w="0" w:type="auto"/>
                                    <w:shd w:val="clear" w:color="auto" w:fill="E3F4FA"/>
                                    <w:tcMar>
                                      <w:top w:w="150" w:type="dxa"/>
                                      <w:left w:w="150" w:type="dxa"/>
                                      <w:bottom w:w="150" w:type="dxa"/>
                                      <w:right w:w="150" w:type="dxa"/>
                                    </w:tcMar>
                                    <w:hideMark/>
                                  </w:tcPr>
                                  <w:p w:rsidR="00DC0F3C" w:rsidRDefault="00DC0F3C">
                                    <w:pPr>
                                      <w:spacing w:after="150"/>
                                    </w:pPr>
                                    <w:r>
                                      <w:rPr>
                                        <w:rFonts w:ascii="Trebuchet MS" w:hAnsi="Trebuchet MS"/>
                                        <w:b/>
                                        <w:bCs/>
                                        <w:color w:val="73C9E4"/>
                                        <w:sz w:val="18"/>
                                        <w:szCs w:val="18"/>
                                      </w:rPr>
                                      <w:t>VENUE     </w:t>
                                    </w:r>
                                  </w:p>
                                  <w:p w:rsidR="00DC0F3C" w:rsidRDefault="00DC0F3C">
                                    <w:r>
                                      <w:rPr>
                                        <w:rFonts w:ascii="Trebuchet MS" w:hAnsi="Trebuchet MS"/>
                                        <w:color w:val="5E4F4A"/>
                                        <w:sz w:val="18"/>
                                        <w:szCs w:val="18"/>
                                      </w:rPr>
                                      <w:t>BDO LLP (Baker Street)</w:t>
                                    </w:r>
                                  </w:p>
                                  <w:p w:rsidR="00DC0F3C" w:rsidRDefault="00DC0F3C">
                                    <w:r>
                                      <w:rPr>
                                        <w:rFonts w:ascii="Trebuchet MS" w:hAnsi="Trebuchet MS"/>
                                        <w:color w:val="5E4F4A"/>
                                        <w:sz w:val="18"/>
                                        <w:szCs w:val="18"/>
                                      </w:rPr>
                                      <w:t>55 Baker Street</w:t>
                                    </w:r>
                                  </w:p>
                                  <w:p w:rsidR="00DC0F3C" w:rsidRDefault="00DC0F3C">
                                    <w:r>
                                      <w:rPr>
                                        <w:rFonts w:ascii="Trebuchet MS" w:hAnsi="Trebuchet MS"/>
                                        <w:color w:val="5E4F4A"/>
                                        <w:sz w:val="18"/>
                                        <w:szCs w:val="18"/>
                                      </w:rPr>
                                      <w:t>Marylebone</w:t>
                                    </w:r>
                                  </w:p>
                                  <w:p w:rsidR="00DC0F3C" w:rsidRDefault="00DC0F3C">
                                    <w:r>
                                      <w:rPr>
                                        <w:rFonts w:ascii="Trebuchet MS" w:hAnsi="Trebuchet MS"/>
                                        <w:color w:val="5E4F4A"/>
                                        <w:sz w:val="18"/>
                                        <w:szCs w:val="18"/>
                                      </w:rPr>
                                      <w:t>London</w:t>
                                    </w:r>
                                  </w:p>
                                  <w:p w:rsidR="00DC0F3C" w:rsidRDefault="00DC0F3C">
                                    <w:pPr>
                                      <w:spacing w:after="240"/>
                                    </w:pPr>
                                    <w:r>
                                      <w:rPr>
                                        <w:rFonts w:ascii="Trebuchet MS" w:hAnsi="Trebuchet MS"/>
                                        <w:color w:val="5E4F4A"/>
                                        <w:sz w:val="18"/>
                                        <w:szCs w:val="18"/>
                                      </w:rPr>
                                      <w:lastRenderedPageBreak/>
                                      <w:t>W1U 7EU</w:t>
                                    </w:r>
                                  </w:p>
                                  <w:p w:rsidR="00DC0F3C" w:rsidRDefault="00DC0F3C">
                                    <w:pPr>
                                      <w:spacing w:after="150"/>
                                    </w:pPr>
                                    <w:r>
                                      <w:rPr>
                                        <w:rFonts w:ascii="Trebuchet MS" w:hAnsi="Trebuchet MS"/>
                                        <w:b/>
                                        <w:bCs/>
                                        <w:color w:val="73C9E4"/>
                                        <w:sz w:val="18"/>
                                        <w:szCs w:val="18"/>
                                      </w:rPr>
                                      <w:t>TIMINGS    </w:t>
                                    </w:r>
                                  </w:p>
                                  <w:p w:rsidR="00DC0F3C" w:rsidRDefault="00DC0F3C">
                                    <w:r>
                                      <w:rPr>
                                        <w:rFonts w:ascii="Trebuchet MS" w:hAnsi="Trebuchet MS"/>
                                        <w:color w:val="5E4F4A"/>
                                        <w:sz w:val="18"/>
                                        <w:szCs w:val="18"/>
                                      </w:rPr>
                                      <w:t>12:30 - Registration  </w:t>
                                    </w:r>
                                    <w:r>
                                      <w:rPr>
                                        <w:rFonts w:ascii="Trebuchet MS" w:hAnsi="Trebuchet MS"/>
                                        <w:color w:val="5E4F4A"/>
                                        <w:sz w:val="18"/>
                                        <w:szCs w:val="18"/>
                                      </w:rPr>
                                      <w:br/>
                                      <w:t>13:00 - Presentation followed by Q&amp;A</w:t>
                                    </w:r>
                                    <w:r>
                                      <w:rPr>
                                        <w:rFonts w:ascii="Trebuchet MS" w:hAnsi="Trebuchet MS"/>
                                        <w:color w:val="5E4F4A"/>
                                        <w:sz w:val="18"/>
                                        <w:szCs w:val="18"/>
                                      </w:rPr>
                                      <w:br/>
                                      <w:t>15:00 - Further networking</w:t>
                                    </w:r>
                                  </w:p>
                                  <w:p w:rsidR="00DC0F3C" w:rsidRDefault="00DC0F3C">
                                    <w:r>
                                      <w:rPr>
                                        <w:rFonts w:ascii="Trebuchet MS" w:hAnsi="Trebuchet MS"/>
                                        <w:color w:val="5E4F4A"/>
                                        <w:sz w:val="18"/>
                                        <w:szCs w:val="18"/>
                                      </w:rPr>
                                      <w:t>16:00 - Close</w:t>
                                    </w:r>
                                  </w:p>
                                  <w:p w:rsidR="00DC0F3C" w:rsidRDefault="00DC0F3C">
                                    <w:pPr>
                                      <w:spacing w:after="150"/>
                                    </w:pPr>
                                    <w:r>
                                      <w:rPr>
                                        <w:rFonts w:ascii="Trebuchet MS" w:hAnsi="Trebuchet MS"/>
                                        <w:b/>
                                        <w:bCs/>
                                        <w:color w:val="73C9E4"/>
                                        <w:sz w:val="18"/>
                                        <w:szCs w:val="18"/>
                                      </w:rPr>
                                      <w:br/>
                                      <w:t>SPEAKERS</w:t>
                                    </w:r>
                                  </w:p>
                                  <w:p w:rsidR="00DC0F3C" w:rsidRDefault="00DC0F3C">
                                    <w:r>
                                      <w:rPr>
                                        <w:rFonts w:ascii="Trebuchet MS" w:hAnsi="Trebuchet MS"/>
                                        <w:b/>
                                        <w:bCs/>
                                        <w:color w:val="FF0000"/>
                                        <w:sz w:val="18"/>
                                        <w:szCs w:val="18"/>
                                      </w:rPr>
                                      <w:t>LYNDON FIRTH</w:t>
                                    </w:r>
                                  </w:p>
                                  <w:p w:rsidR="00DC0F3C" w:rsidRDefault="00DC0F3C">
                                    <w:r>
                                      <w:rPr>
                                        <w:rFonts w:ascii="Trebuchet MS" w:hAnsi="Trebuchet MS"/>
                                        <w:color w:val="5E4F4A"/>
                                        <w:sz w:val="18"/>
                                        <w:szCs w:val="18"/>
                                      </w:rPr>
                                      <w:t>VAT Director, BDO</w:t>
                                    </w:r>
                                  </w:p>
                                  <w:p w:rsidR="00DC0F3C" w:rsidRDefault="00DC0F3C">
                                    <w:r>
                                      <w:rPr>
                                        <w:rFonts w:ascii="Trebuchet MS" w:hAnsi="Trebuchet MS"/>
                                        <w:color w:val="5E4F4A"/>
                                        <w:sz w:val="18"/>
                                        <w:szCs w:val="18"/>
                                      </w:rPr>
                                      <w:t> </w:t>
                                    </w:r>
                                  </w:p>
                                  <w:p w:rsidR="00DC0F3C" w:rsidRDefault="00DC0F3C">
                                    <w:r>
                                      <w:rPr>
                                        <w:rFonts w:ascii="Trebuchet MS" w:hAnsi="Trebuchet MS"/>
                                        <w:b/>
                                        <w:bCs/>
                                        <w:color w:val="FF0000"/>
                                        <w:sz w:val="18"/>
                                        <w:szCs w:val="18"/>
                                      </w:rPr>
                                      <w:t>CHRIS MORGAN</w:t>
                                    </w:r>
                                  </w:p>
                                  <w:p w:rsidR="00DC0F3C" w:rsidRDefault="00DC0F3C">
                                    <w:r>
                                      <w:rPr>
                                        <w:rFonts w:ascii="Trebuchet MS" w:hAnsi="Trebuchet MS"/>
                                        <w:color w:val="5E4F4A"/>
                                        <w:sz w:val="18"/>
                                        <w:szCs w:val="18"/>
                                      </w:rPr>
                                      <w:t>National P22 VAT Adviser, BDO</w:t>
                                    </w:r>
                                  </w:p>
                                  <w:p w:rsidR="00DC0F3C" w:rsidRDefault="00DC0F3C">
                                    <w:r>
                                      <w:rPr>
                                        <w:rFonts w:ascii="Trebuchet MS" w:hAnsi="Trebuchet MS"/>
                                        <w:color w:val="5E4F4A"/>
                                        <w:sz w:val="18"/>
                                        <w:szCs w:val="18"/>
                                      </w:rPr>
                                      <w:t> </w:t>
                                    </w:r>
                                  </w:p>
                                  <w:p w:rsidR="00DC0F3C" w:rsidRDefault="00DC0F3C">
                                    <w:pPr>
                                      <w:spacing w:after="150"/>
                                    </w:pPr>
                                    <w:r>
                                      <w:rPr>
                                        <w:rFonts w:ascii="Trebuchet MS" w:hAnsi="Trebuchet MS"/>
                                        <w:b/>
                                        <w:bCs/>
                                        <w:color w:val="73C9E4"/>
                                        <w:sz w:val="18"/>
                                        <w:szCs w:val="18"/>
                                      </w:rPr>
                                      <w:t>CONTACT</w:t>
                                    </w:r>
                                  </w:p>
                                  <w:p w:rsidR="00DC0F3C" w:rsidRDefault="00DC0F3C">
                                    <w:r>
                                      <w:rPr>
                                        <w:rFonts w:ascii="Trebuchet MS" w:hAnsi="Trebuchet MS"/>
                                        <w:color w:val="5E4F4A"/>
                                        <w:sz w:val="18"/>
                                        <w:szCs w:val="18"/>
                                      </w:rPr>
                                      <w:t xml:space="preserve">For further information regarding this event please do not hesitate to contact </w:t>
                                    </w:r>
                                    <w:hyperlink r:id="rId9" w:history="1">
                                      <w:r>
                                        <w:rPr>
                                          <w:rStyle w:val="Hyperlink"/>
                                          <w:rFonts w:ascii="Trebuchet MS" w:hAnsi="Trebuchet MS"/>
                                          <w:color w:val="ED1A3B"/>
                                          <w:szCs w:val="18"/>
                                          <w:bdr w:val="none" w:sz="0" w:space="0" w:color="auto" w:frame="1"/>
                                        </w:rPr>
                                        <w:t>Laura Myers</w:t>
                                      </w:r>
                                    </w:hyperlink>
                                  </w:p>
                                </w:tc>
                              </w:tr>
                              <w:tr w:rsidR="00DC0F3C">
                                <w:trPr>
                                  <w:tblCellSpacing w:w="0" w:type="dxa"/>
                                  <w:jc w:val="center"/>
                                </w:trPr>
                                <w:tc>
                                  <w:tcPr>
                                    <w:tcW w:w="0" w:type="auto"/>
                                    <w:tcMar>
                                      <w:top w:w="0" w:type="dxa"/>
                                      <w:left w:w="0" w:type="dxa"/>
                                      <w:bottom w:w="150" w:type="dxa"/>
                                      <w:right w:w="0" w:type="dxa"/>
                                    </w:tcMar>
                                    <w:hideMark/>
                                  </w:tcPr>
                                  <w:p w:rsidR="00DC0F3C" w:rsidRDefault="00DC0F3C">
                                    <w:r>
                                      <w:rPr>
                                        <w:rFonts w:ascii="Arial" w:hAnsi="Arial" w:cs="Arial"/>
                                        <w:color w:val="5E4F4A"/>
                                        <w:sz w:val="18"/>
                                        <w:szCs w:val="18"/>
                                      </w:rPr>
                                      <w:lastRenderedPageBreak/>
                                      <w:t>​</w:t>
                                    </w:r>
                                    <w:bookmarkStart w:id="0" w:name="_GoBack"/>
                                    <w:bookmarkEnd w:id="0"/>
                                  </w:p>
                                </w:tc>
                              </w:tr>
                              <w:tr w:rsidR="00DC0F3C">
                                <w:trPr>
                                  <w:tblCellSpacing w:w="0" w:type="dxa"/>
                                  <w:jc w:val="center"/>
                                </w:trPr>
                                <w:tc>
                                  <w:tcPr>
                                    <w:tcW w:w="0" w:type="auto"/>
                                    <w:tcMar>
                                      <w:top w:w="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420"/>
                                    </w:tblGrid>
                                    <w:tr w:rsidR="00DC0F3C">
                                      <w:trPr>
                                        <w:tblCellSpacing w:w="0" w:type="dxa"/>
                                        <w:jc w:val="center"/>
                                      </w:trPr>
                                      <w:tc>
                                        <w:tcPr>
                                          <w:tcW w:w="0" w:type="auto"/>
                                          <w:shd w:val="clear" w:color="auto" w:fill="E10E34"/>
                                          <w:tcMar>
                                            <w:top w:w="150" w:type="dxa"/>
                                            <w:left w:w="150" w:type="dxa"/>
                                            <w:bottom w:w="150" w:type="dxa"/>
                                            <w:right w:w="150" w:type="dxa"/>
                                          </w:tcMar>
                                          <w:vAlign w:val="center"/>
                                          <w:hideMark/>
                                        </w:tcPr>
                                        <w:p w:rsidR="00DC0F3C" w:rsidRDefault="00DC0F3C">
                                          <w:pPr>
                                            <w:jc w:val="center"/>
                                          </w:pPr>
                                          <w:hyperlink r:id="rId10" w:history="1">
                                            <w:r>
                                              <w:rPr>
                                                <w:rStyle w:val="Hyperlink"/>
                                                <w:rFonts w:ascii="Trebuchet MS" w:hAnsi="Trebuchet MS"/>
                                                <w:b/>
                                                <w:bCs/>
                                                <w:color w:val="FFFFFE"/>
                                                <w:sz w:val="21"/>
                                                <w:szCs w:val="21"/>
                                                <w:bdr w:val="none" w:sz="0" w:space="0" w:color="auto" w:frame="1"/>
                                              </w:rPr>
                                              <w:t>REGISTER</w:t>
                                            </w:r>
                                          </w:hyperlink>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r w:rsidR="00DC0F3C" w:rsidTr="00DC0F3C">
        <w:trPr>
          <w:tblCellSpacing w:w="0" w:type="dxa"/>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C0F3C">
              <w:trPr>
                <w:tblCellSpacing w:w="0" w:type="dxa"/>
                <w:jc w:val="center"/>
              </w:trPr>
              <w:tc>
                <w:tcPr>
                  <w:tcW w:w="0" w:type="auto"/>
                  <w:tcMar>
                    <w:top w:w="150" w:type="dxa"/>
                    <w:left w:w="150" w:type="dxa"/>
                    <w:bottom w:w="150"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DC0F3C">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2043"/>
                          <w:gridCol w:w="175"/>
                          <w:gridCol w:w="2044"/>
                          <w:gridCol w:w="175"/>
                          <w:gridCol w:w="2044"/>
                          <w:gridCol w:w="175"/>
                          <w:gridCol w:w="2044"/>
                        </w:tblGrid>
                        <w:tr w:rsidR="00DC0F3C">
                          <w:trPr>
                            <w:trHeight w:val="150"/>
                            <w:tblCellSpacing w:w="0" w:type="dxa"/>
                            <w:jc w:val="center"/>
                          </w:trPr>
                          <w:tc>
                            <w:tcPr>
                              <w:tcW w:w="1755" w:type="dxa"/>
                              <w:tcMar>
                                <w:top w:w="15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743"/>
                              </w:tblGrid>
                              <w:tr w:rsidR="00DC0F3C">
                                <w:trPr>
                                  <w:tblCellSpacing w:w="0" w:type="dxa"/>
                                  <w:jc w:val="center"/>
                                </w:trPr>
                                <w:tc>
                                  <w:tcPr>
                                    <w:tcW w:w="0" w:type="auto"/>
                                    <w:tcMar>
                                      <w:top w:w="0" w:type="dxa"/>
                                      <w:left w:w="0" w:type="dxa"/>
                                      <w:bottom w:w="150" w:type="dxa"/>
                                      <w:right w:w="0" w:type="dxa"/>
                                    </w:tcMar>
                                    <w:hideMark/>
                                  </w:tcPr>
                                  <w:p w:rsidR="00DC0F3C" w:rsidRDefault="00DC0F3C">
                                    <w:pPr>
                                      <w:jc w:val="center"/>
                                    </w:pPr>
                                    <w:r>
                                      <w:rPr>
                                        <w:noProof/>
                                        <w:color w:val="ED1A3B"/>
                                        <w:bdr w:val="none" w:sz="0" w:space="0" w:color="auto" w:frame="1"/>
                                      </w:rPr>
                                      <w:lastRenderedPageBreak/>
                                      <w:drawing>
                                        <wp:inline distT="0" distB="0" distL="0" distR="0">
                                          <wp:extent cx="622300" cy="223520"/>
                                          <wp:effectExtent l="0" t="0" r="0" b="5080"/>
                                          <wp:docPr id="7" name="Picture 7" descr="facebook">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00" cy="223520"/>
                                                  </a:xfrm>
                                                  <a:prstGeom prst="rect">
                                                    <a:avLst/>
                                                  </a:prstGeom>
                                                  <a:noFill/>
                                                  <a:ln>
                                                    <a:noFill/>
                                                  </a:ln>
                                                </pic:spPr>
                                              </pic:pic>
                                            </a:graphicData>
                                          </a:graphic>
                                        </wp:inline>
                                      </w:drawing>
                                    </w:r>
                                  </w:p>
                                </w:tc>
                              </w:tr>
                            </w:tbl>
                            <w:p w:rsidR="00DC0F3C" w:rsidRDefault="00DC0F3C">
                              <w:pPr>
                                <w:jc w:val="center"/>
                                <w:rPr>
                                  <w:rFonts w:eastAsia="Times New Roman"/>
                                  <w:sz w:val="20"/>
                                  <w:szCs w:val="20"/>
                                </w:rPr>
                              </w:pPr>
                            </w:p>
                          </w:tc>
                          <w:tc>
                            <w:tcPr>
                              <w:tcW w:w="150" w:type="dxa"/>
                              <w:vAlign w:val="center"/>
                              <w:hideMark/>
                            </w:tcPr>
                            <w:p w:rsidR="00DC0F3C" w:rsidRDefault="00DC0F3C">
                              <w:pPr>
                                <w:jc w:val="center"/>
                              </w:pPr>
                              <w:r>
                                <w:rPr>
                                  <w:b/>
                                  <w:bCs/>
                                  <w:sz w:val="2"/>
                                  <w:szCs w:val="2"/>
                                </w:rPr>
                                <w:t> </w:t>
                              </w:r>
                            </w:p>
                          </w:tc>
                          <w:tc>
                            <w:tcPr>
                              <w:tcW w:w="1755" w:type="dxa"/>
                              <w:tcMar>
                                <w:top w:w="15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744"/>
                              </w:tblGrid>
                              <w:tr w:rsidR="00DC0F3C">
                                <w:trPr>
                                  <w:tblCellSpacing w:w="0" w:type="dxa"/>
                                  <w:jc w:val="center"/>
                                </w:trPr>
                                <w:tc>
                                  <w:tcPr>
                                    <w:tcW w:w="0" w:type="auto"/>
                                    <w:tcMar>
                                      <w:top w:w="0" w:type="dxa"/>
                                      <w:left w:w="0" w:type="dxa"/>
                                      <w:bottom w:w="150" w:type="dxa"/>
                                      <w:right w:w="0" w:type="dxa"/>
                                    </w:tcMar>
                                    <w:hideMark/>
                                  </w:tcPr>
                                  <w:p w:rsidR="00DC0F3C" w:rsidRDefault="00DC0F3C">
                                    <w:pPr>
                                      <w:jc w:val="center"/>
                                    </w:pPr>
                                    <w:r>
                                      <w:rPr>
                                        <w:noProof/>
                                        <w:color w:val="ED1A3B"/>
                                        <w:bdr w:val="none" w:sz="0" w:space="0" w:color="auto" w:frame="1"/>
                                      </w:rPr>
                                      <w:drawing>
                                        <wp:inline distT="0" distB="0" distL="0" distR="0">
                                          <wp:extent cx="622300" cy="223520"/>
                                          <wp:effectExtent l="0" t="0" r="0" b="5080"/>
                                          <wp:docPr id="6" name="Picture 6" descr="twitter">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300" cy="223520"/>
                                                  </a:xfrm>
                                                  <a:prstGeom prst="rect">
                                                    <a:avLst/>
                                                  </a:prstGeom>
                                                  <a:noFill/>
                                                  <a:ln>
                                                    <a:noFill/>
                                                  </a:ln>
                                                </pic:spPr>
                                              </pic:pic>
                                            </a:graphicData>
                                          </a:graphic>
                                        </wp:inline>
                                      </w:drawing>
                                    </w:r>
                                  </w:p>
                                </w:tc>
                              </w:tr>
                            </w:tbl>
                            <w:p w:rsidR="00DC0F3C" w:rsidRDefault="00DC0F3C">
                              <w:pPr>
                                <w:jc w:val="center"/>
                                <w:rPr>
                                  <w:rFonts w:eastAsia="Times New Roman"/>
                                  <w:sz w:val="20"/>
                                  <w:szCs w:val="20"/>
                                </w:rPr>
                              </w:pPr>
                            </w:p>
                          </w:tc>
                          <w:tc>
                            <w:tcPr>
                              <w:tcW w:w="150" w:type="dxa"/>
                              <w:vAlign w:val="center"/>
                              <w:hideMark/>
                            </w:tcPr>
                            <w:p w:rsidR="00DC0F3C" w:rsidRDefault="00DC0F3C">
                              <w:pPr>
                                <w:jc w:val="center"/>
                              </w:pPr>
                              <w:r>
                                <w:rPr>
                                  <w:b/>
                                  <w:bCs/>
                                  <w:sz w:val="2"/>
                                  <w:szCs w:val="2"/>
                                </w:rPr>
                                <w:t> </w:t>
                              </w:r>
                            </w:p>
                          </w:tc>
                          <w:tc>
                            <w:tcPr>
                              <w:tcW w:w="1755" w:type="dxa"/>
                              <w:tcMar>
                                <w:top w:w="15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744"/>
                              </w:tblGrid>
                              <w:tr w:rsidR="00DC0F3C">
                                <w:trPr>
                                  <w:tblCellSpacing w:w="0" w:type="dxa"/>
                                  <w:jc w:val="center"/>
                                </w:trPr>
                                <w:tc>
                                  <w:tcPr>
                                    <w:tcW w:w="0" w:type="auto"/>
                                    <w:tcMar>
                                      <w:top w:w="0" w:type="dxa"/>
                                      <w:left w:w="0" w:type="dxa"/>
                                      <w:bottom w:w="150" w:type="dxa"/>
                                      <w:right w:w="0" w:type="dxa"/>
                                    </w:tcMar>
                                    <w:hideMark/>
                                  </w:tcPr>
                                  <w:p w:rsidR="00DC0F3C" w:rsidRDefault="00DC0F3C">
                                    <w:pPr>
                                      <w:jc w:val="center"/>
                                    </w:pPr>
                                    <w:r>
                                      <w:rPr>
                                        <w:noProof/>
                                        <w:color w:val="ED1A3B"/>
                                        <w:bdr w:val="none" w:sz="0" w:space="0" w:color="auto" w:frame="1"/>
                                      </w:rPr>
                                      <w:drawing>
                                        <wp:inline distT="0" distB="0" distL="0" distR="0">
                                          <wp:extent cx="622300" cy="223520"/>
                                          <wp:effectExtent l="0" t="0" r="0" b="5080"/>
                                          <wp:docPr id="5" name="Picture 5" descr="linkedin">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ed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300" cy="223520"/>
                                                  </a:xfrm>
                                                  <a:prstGeom prst="rect">
                                                    <a:avLst/>
                                                  </a:prstGeom>
                                                  <a:noFill/>
                                                  <a:ln>
                                                    <a:noFill/>
                                                  </a:ln>
                                                </pic:spPr>
                                              </pic:pic>
                                            </a:graphicData>
                                          </a:graphic>
                                        </wp:inline>
                                      </w:drawing>
                                    </w:r>
                                  </w:p>
                                </w:tc>
                              </w:tr>
                            </w:tbl>
                            <w:p w:rsidR="00DC0F3C" w:rsidRDefault="00DC0F3C">
                              <w:pPr>
                                <w:jc w:val="center"/>
                                <w:rPr>
                                  <w:rFonts w:eastAsia="Times New Roman"/>
                                  <w:sz w:val="20"/>
                                  <w:szCs w:val="20"/>
                                </w:rPr>
                              </w:pPr>
                            </w:p>
                          </w:tc>
                          <w:tc>
                            <w:tcPr>
                              <w:tcW w:w="150" w:type="dxa"/>
                              <w:vAlign w:val="center"/>
                              <w:hideMark/>
                            </w:tcPr>
                            <w:p w:rsidR="00DC0F3C" w:rsidRDefault="00DC0F3C">
                              <w:pPr>
                                <w:jc w:val="center"/>
                              </w:pPr>
                              <w:r>
                                <w:rPr>
                                  <w:b/>
                                  <w:bCs/>
                                  <w:sz w:val="2"/>
                                  <w:szCs w:val="2"/>
                                </w:rPr>
                                <w:t> </w:t>
                              </w:r>
                            </w:p>
                          </w:tc>
                          <w:tc>
                            <w:tcPr>
                              <w:tcW w:w="1755" w:type="dxa"/>
                              <w:tcMar>
                                <w:top w:w="15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744"/>
                              </w:tblGrid>
                              <w:tr w:rsidR="00DC0F3C">
                                <w:trPr>
                                  <w:tblCellSpacing w:w="0" w:type="dxa"/>
                                  <w:jc w:val="center"/>
                                </w:trPr>
                                <w:tc>
                                  <w:tcPr>
                                    <w:tcW w:w="0" w:type="auto"/>
                                    <w:tcMar>
                                      <w:top w:w="0" w:type="dxa"/>
                                      <w:left w:w="0" w:type="dxa"/>
                                      <w:bottom w:w="150" w:type="dxa"/>
                                      <w:right w:w="0" w:type="dxa"/>
                                    </w:tcMar>
                                    <w:hideMark/>
                                  </w:tcPr>
                                  <w:p w:rsidR="00DC0F3C" w:rsidRDefault="00DC0F3C">
                                    <w:pPr>
                                      <w:jc w:val="center"/>
                                    </w:pPr>
                                    <w:r>
                                      <w:rPr>
                                        <w:noProof/>
                                        <w:color w:val="ED1A3B"/>
                                        <w:bdr w:val="none" w:sz="0" w:space="0" w:color="auto" w:frame="1"/>
                                      </w:rPr>
                                      <w:drawing>
                                        <wp:inline distT="0" distB="0" distL="0" distR="0">
                                          <wp:extent cx="622300" cy="223520"/>
                                          <wp:effectExtent l="0" t="0" r="0" b="5080"/>
                                          <wp:docPr id="4" name="Picture 4" descr="youtub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utub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300" cy="223520"/>
                                                  </a:xfrm>
                                                  <a:prstGeom prst="rect">
                                                    <a:avLst/>
                                                  </a:prstGeom>
                                                  <a:noFill/>
                                                  <a:ln>
                                                    <a:noFill/>
                                                  </a:ln>
                                                </pic:spPr>
                                              </pic:pic>
                                            </a:graphicData>
                                          </a:graphic>
                                        </wp:inline>
                                      </w:drawing>
                                    </w: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r w:rsidR="00DC0F3C" w:rsidTr="00DC0F3C">
        <w:trPr>
          <w:tblCellSpacing w:w="0" w:type="dxa"/>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C0F3C">
              <w:trPr>
                <w:tblCellSpacing w:w="0" w:type="dxa"/>
                <w:jc w:val="center"/>
              </w:trPr>
              <w:tc>
                <w:tcPr>
                  <w:tcW w:w="0" w:type="auto"/>
                  <w:tcMar>
                    <w:top w:w="150" w:type="dxa"/>
                    <w:left w:w="150" w:type="dxa"/>
                    <w:bottom w:w="0"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DC0F3C">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6316"/>
                          <w:gridCol w:w="161"/>
                          <w:gridCol w:w="2223"/>
                        </w:tblGrid>
                        <w:tr w:rsidR="00DC0F3C">
                          <w:trPr>
                            <w:trHeight w:val="150"/>
                            <w:tblCellSpacing w:w="0" w:type="dxa"/>
                            <w:jc w:val="center"/>
                          </w:trPr>
                          <w:tc>
                            <w:tcPr>
                              <w:tcW w:w="5880" w:type="dxa"/>
                              <w:tcMar>
                                <w:top w:w="15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6316"/>
                              </w:tblGrid>
                              <w:tr w:rsidR="00DC0F3C">
                                <w:trPr>
                                  <w:tblCellSpacing w:w="0" w:type="dxa"/>
                                  <w:jc w:val="center"/>
                                </w:trPr>
                                <w:tc>
                                  <w:tcPr>
                                    <w:tcW w:w="0" w:type="auto"/>
                                    <w:tcMar>
                                      <w:top w:w="0" w:type="dxa"/>
                                      <w:left w:w="0" w:type="dxa"/>
                                      <w:bottom w:w="150" w:type="dxa"/>
                                      <w:right w:w="0" w:type="dxa"/>
                                    </w:tcMar>
                                    <w:hideMark/>
                                  </w:tcPr>
                                  <w:p w:rsidR="00DC0F3C" w:rsidRDefault="00DC0F3C">
                                    <w:r>
                                      <w:rPr>
                                        <w:rFonts w:ascii="Trebuchet MS" w:hAnsi="Trebuchet MS"/>
                                        <w:color w:val="5E4F4A"/>
                                        <w:sz w:val="17"/>
                                        <w:szCs w:val="17"/>
                                      </w:rPr>
                                      <w:t>BDO LLP, 55 Baker Street, London, W1U 7EU</w:t>
                                    </w:r>
                                  </w:p>
                                  <w:p w:rsidR="00DC0F3C" w:rsidRDefault="00DC0F3C">
                                    <w:r>
                                      <w:rPr>
                                        <w:rFonts w:ascii="Trebuchet MS" w:hAnsi="Trebuchet MS"/>
                                        <w:color w:val="5E4F4A"/>
                                        <w:sz w:val="17"/>
                                        <w:szCs w:val="17"/>
                                      </w:rPr>
                                      <w:t xml:space="preserve">t: 020 7486 5888 | f: 020 7487 3686 | </w:t>
                                    </w:r>
                                    <w:hyperlink r:id="rId19" w:history="1">
                                      <w:r>
                                        <w:rPr>
                                          <w:rStyle w:val="Hyperlink"/>
                                          <w:rFonts w:ascii="Trebuchet MS" w:hAnsi="Trebuchet MS"/>
                                          <w:color w:val="ED1A3B"/>
                                          <w:sz w:val="17"/>
                                          <w:szCs w:val="17"/>
                                          <w:bdr w:val="none" w:sz="0" w:space="0" w:color="auto" w:frame="1"/>
                                        </w:rPr>
                                        <w:t>www.bdo.co.uk</w:t>
                                      </w:r>
                                    </w:hyperlink>
                                    <w:r>
                                      <w:rPr>
                                        <w:rFonts w:ascii="Trebuchet MS" w:hAnsi="Trebuchet MS"/>
                                        <w:color w:val="5E4F4A"/>
                                        <w:sz w:val="17"/>
                                        <w:szCs w:val="17"/>
                                      </w:rPr>
                                      <w:t> </w:t>
                                    </w:r>
                                  </w:p>
                                  <w:p w:rsidR="00DC0F3C" w:rsidRDefault="00DC0F3C">
                                    <w:r>
                                      <w:rPr>
                                        <w:rFonts w:ascii="Trebuchet MS" w:hAnsi="Trebuchet MS"/>
                                        <w:color w:val="5E4F4A"/>
                                        <w:sz w:val="18"/>
                                        <w:szCs w:val="18"/>
                                      </w:rPr>
                                      <w:t> </w:t>
                                    </w:r>
                                  </w:p>
                                  <w:p w:rsidR="00DC0F3C" w:rsidRDefault="00DC0F3C">
                                    <w:r>
                                      <w:rPr>
                                        <w:rFonts w:ascii="Trebuchet MS" w:hAnsi="Trebuchet MS"/>
                                        <w:color w:val="5E4F4A"/>
                                        <w:sz w:val="17"/>
                                        <w:szCs w:val="17"/>
                                      </w:rPr>
                                      <w:t xml:space="preserve">Can't see this email? </w:t>
                                    </w:r>
                                    <w:hyperlink w:history="1">
                                      <w:r>
                                        <w:rPr>
                                          <w:rStyle w:val="Hyperlink"/>
                                          <w:rFonts w:ascii="Trebuchet MS" w:hAnsi="Trebuchet MS"/>
                                          <w:color w:val="ED1A3B"/>
                                          <w:sz w:val="17"/>
                                          <w:szCs w:val="17"/>
                                          <w:bdr w:val="none" w:sz="0" w:space="0" w:color="auto" w:frame="1"/>
                                        </w:rPr>
                                        <w:t>View in browser</w:t>
                                      </w:r>
                                    </w:hyperlink>
                                  </w:p>
                                  <w:p w:rsidR="00DC0F3C" w:rsidRDefault="00DC0F3C">
                                    <w:r>
                                      <w:rPr>
                                        <w:rFonts w:ascii="Trebuchet MS" w:hAnsi="Trebuchet MS"/>
                                        <w:color w:val="5E4F4A"/>
                                        <w:sz w:val="17"/>
                                        <w:szCs w:val="17"/>
                                      </w:rPr>
                                      <w:t xml:space="preserve">For full information on our communication policy, </w:t>
                                    </w:r>
                                    <w:hyperlink r:id="rId20" w:history="1">
                                      <w:r>
                                        <w:rPr>
                                          <w:rStyle w:val="Hyperlink"/>
                                          <w:rFonts w:ascii="Trebuchet MS" w:hAnsi="Trebuchet MS"/>
                                          <w:color w:val="ED1A3B"/>
                                          <w:sz w:val="17"/>
                                          <w:szCs w:val="17"/>
                                          <w:bdr w:val="none" w:sz="0" w:space="0" w:color="auto" w:frame="1"/>
                                        </w:rPr>
                                        <w:t>read our terms and conditions</w:t>
                                      </w:r>
                                    </w:hyperlink>
                                    <w:r>
                                      <w:rPr>
                                        <w:rFonts w:ascii="Trebuchet MS" w:hAnsi="Trebuchet MS"/>
                                        <w:color w:val="5E4F4A"/>
                                        <w:sz w:val="17"/>
                                        <w:szCs w:val="17"/>
                                      </w:rPr>
                                      <w:t>.</w:t>
                                    </w:r>
                                  </w:p>
                                </w:tc>
                              </w:tr>
                            </w:tbl>
                            <w:p w:rsidR="00DC0F3C" w:rsidRDefault="00DC0F3C">
                              <w:pPr>
                                <w:jc w:val="center"/>
                                <w:rPr>
                                  <w:rFonts w:eastAsia="Times New Roman"/>
                                  <w:sz w:val="20"/>
                                  <w:szCs w:val="20"/>
                                </w:rPr>
                              </w:pPr>
                            </w:p>
                          </w:tc>
                          <w:tc>
                            <w:tcPr>
                              <w:tcW w:w="150" w:type="dxa"/>
                              <w:vAlign w:val="center"/>
                              <w:hideMark/>
                            </w:tcPr>
                            <w:p w:rsidR="00DC0F3C" w:rsidRDefault="00DC0F3C">
                              <w:pPr>
                                <w:jc w:val="center"/>
                              </w:pPr>
                              <w:r>
                                <w:rPr>
                                  <w:b/>
                                  <w:bCs/>
                                  <w:sz w:val="2"/>
                                  <w:szCs w:val="2"/>
                                </w:rPr>
                                <w:t> </w:t>
                              </w:r>
                            </w:p>
                          </w:tc>
                          <w:tc>
                            <w:tcPr>
                              <w:tcW w:w="2070" w:type="dxa"/>
                              <w:tcMar>
                                <w:top w:w="150" w:type="dxa"/>
                                <w:left w:w="150" w:type="dxa"/>
                                <w:bottom w:w="0" w:type="dxa"/>
                                <w:right w:w="52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548"/>
                              </w:tblGrid>
                              <w:tr w:rsidR="00DC0F3C">
                                <w:trPr>
                                  <w:tblCellSpacing w:w="0" w:type="dxa"/>
                                  <w:jc w:val="center"/>
                                </w:trPr>
                                <w:tc>
                                  <w:tcPr>
                                    <w:tcW w:w="0" w:type="auto"/>
                                    <w:hideMark/>
                                  </w:tcPr>
                                  <w:p w:rsidR="00DC0F3C" w:rsidRDefault="00DC0F3C">
                                    <w:pPr>
                                      <w:jc w:val="right"/>
                                    </w:pPr>
                                    <w:r>
                                      <w:rPr>
                                        <w:noProof/>
                                      </w:rPr>
                                      <w:fldChar w:fldCharType="begin"/>
                                    </w:r>
                                    <w:r>
                                      <w:rPr>
                                        <w:noProof/>
                                      </w:rPr>
                                      <w:instrText xml:space="preserve"> INCLUDEPICTURE "http://cdn.uploadlibrary.com/Advisory/templates/red_up.png" \* MERGEFORMATINET </w:instrText>
                                    </w:r>
                                    <w:r>
                                      <w:rPr>
                                        <w:noProof/>
                                      </w:rPr>
                                      <w:fldChar w:fldCharType="separate"/>
                                    </w:r>
                                    <w:r>
                                      <w:rPr>
                                        <w:noProof/>
                                      </w:rPr>
                                      <w:drawing>
                                        <wp:inline distT="0" distB="0" distL="0" distR="0">
                                          <wp:extent cx="252730" cy="1069975"/>
                                          <wp:effectExtent l="0" t="0" r="1270" b="0"/>
                                          <wp:docPr id="3" name="Picture 3" descr="http://cdn.uploadlibrary.com/Advisory/templates/red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uploadlibrary.com/Advisory/templates/red_up.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730" cy="1069975"/>
                                                  </a:xfrm>
                                                  <a:prstGeom prst="rect">
                                                    <a:avLst/>
                                                  </a:prstGeom>
                                                  <a:noFill/>
                                                  <a:ln>
                                                    <a:noFill/>
                                                  </a:ln>
                                                </pic:spPr>
                                              </pic:pic>
                                            </a:graphicData>
                                          </a:graphic>
                                        </wp:inline>
                                      </w:drawing>
                                    </w:r>
                                    <w:r>
                                      <w:rPr>
                                        <w:noProof/>
                                      </w:rPr>
                                      <w:fldChar w:fldCharType="end"/>
                                    </w: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bl>
          <w:p w:rsidR="00DC0F3C" w:rsidRDefault="00DC0F3C">
            <w:pPr>
              <w:jc w:val="center"/>
              <w:rPr>
                <w:rFonts w:eastAsia="Times New Roman"/>
                <w:sz w:val="20"/>
                <w:szCs w:val="20"/>
              </w:rPr>
            </w:pPr>
          </w:p>
        </w:tc>
      </w:tr>
    </w:tbl>
    <w:p w:rsidR="00DC0F3C" w:rsidRDefault="00DC0F3C" w:rsidP="00DC0F3C">
      <w:r>
        <w:t> </w:t>
      </w:r>
    </w:p>
    <w:tbl>
      <w:tblPr>
        <w:tblW w:w="5000" w:type="pct"/>
        <w:tblCellSpacing w:w="0" w:type="dxa"/>
        <w:tblCellMar>
          <w:left w:w="0" w:type="dxa"/>
          <w:right w:w="0" w:type="dxa"/>
        </w:tblCellMar>
        <w:tblLook w:val="04A0" w:firstRow="1" w:lastRow="0" w:firstColumn="1" w:lastColumn="0" w:noHBand="0" w:noVBand="1"/>
      </w:tblPr>
      <w:tblGrid>
        <w:gridCol w:w="9020"/>
      </w:tblGrid>
      <w:tr w:rsidR="00DC0F3C" w:rsidTr="00DC0F3C">
        <w:trPr>
          <w:tblCellSpacing w:w="0" w:type="dxa"/>
        </w:trPr>
        <w:tc>
          <w:tcPr>
            <w:tcW w:w="0" w:type="auto"/>
            <w:vAlign w:val="center"/>
            <w:hideMark/>
          </w:tcPr>
          <w:p w:rsidR="00DC0F3C" w:rsidRDefault="00DC0F3C"/>
        </w:tc>
      </w:tr>
    </w:tbl>
    <w:p w:rsidR="00DC0F3C" w:rsidRDefault="00DC0F3C" w:rsidP="00DC0F3C">
      <w:r>
        <w:t> </w:t>
      </w:r>
    </w:p>
    <w:p w:rsidR="004F5DA3" w:rsidRDefault="00DC0F3C"/>
    <w:sectPr w:rsidR="004F5DA3" w:rsidSect="00A812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440"/>
    <w:multiLevelType w:val="multilevel"/>
    <w:tmpl w:val="0C821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3C"/>
    <w:rsid w:val="000844D6"/>
    <w:rsid w:val="005719B0"/>
    <w:rsid w:val="009E7D64"/>
    <w:rsid w:val="00A812E7"/>
    <w:rsid w:val="00DC0F3C"/>
    <w:rsid w:val="00FB2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4FEB1D"/>
  <w14:defaultImageDpi w14:val="32767"/>
  <w15:chartTrackingRefBased/>
  <w15:docId w15:val="{F345D61C-A066-874E-B2E2-2B294EE0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0F3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on.firth@bdo.co.uk" TargetMode="External"/><Relationship Id="rId13" Type="http://schemas.openxmlformats.org/officeDocument/2006/relationships/hyperlink" Target="https://twitter.com/bdoaccountant?utm_campaign=%7b~messageName~%7d&amp;utm_source=emailCampaign&amp;utm_medium=email&amp;utm_content=%7b~mailVariationId~%7d"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3.jpeg"/><Relationship Id="rId12" Type="http://schemas.openxmlformats.org/officeDocument/2006/relationships/image" Target="media/image4.png"/><Relationship Id="rId17" Type="http://schemas.openxmlformats.org/officeDocument/2006/relationships/hyperlink" Target="https://www.youtube.com/channel/UCI5deXST1RAiIkKYM7_YEZA?utm_campaign=%7b~messageName~%7d&amp;utm_source=emailCampaign&amp;utm_medium=email&amp;utm_content=%7b~mailVariationId~%7d"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bdo.co.uk/en-gb/legal-privacy/privacy-cookies?utm_campaign=%7b~messageName~%7d&amp;utm_source=emailCampaign&amp;utm_medium=email&amp;utm_content=%7b~mailVariationId~%7d"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cebook.com/BDOLLP/?utm_campaign=%7b~messageName~%7d&amp;utm_source=emailCampaign&amp;utm_medium=email&amp;utm_content=%7b~mailVariationId~%7d" TargetMode="External"/><Relationship Id="rId5" Type="http://schemas.openxmlformats.org/officeDocument/2006/relationships/image" Target="media/image1.png"/><Relationship Id="rId15" Type="http://schemas.openxmlformats.org/officeDocument/2006/relationships/hyperlink" Target="https://www.linkedin.com/company/bdo-llp/?utm_campaign=%7b~messageName~%7d&amp;utm_source=emailCampaign&amp;utm_medium=email&amp;utm_content=%7b~mailVariationId~%7d" TargetMode="External"/><Relationship Id="rId23" Type="http://schemas.openxmlformats.org/officeDocument/2006/relationships/theme" Target="theme/theme1.xml"/><Relationship Id="rId10" Type="http://schemas.openxmlformats.org/officeDocument/2006/relationships/hyperlink" Target="https://www.surveymonkey.co.uk/r/H5VG932?utm_campaign=%7b~messageName~%7d&amp;utm_source=emailCampaign&amp;utm_medium=email&amp;utm_content=%7b~mailVariationId~%7d" TargetMode="External"/><Relationship Id="rId19" Type="http://schemas.openxmlformats.org/officeDocument/2006/relationships/hyperlink" Target="http://www.bdo.co.uk?utm_campaign=%7b~messageName~%7d&amp;utm_source=emailCampaign&amp;utm_medium=email&amp;utm_content=%7b~mailVariationId~%7d" TargetMode="External"/><Relationship Id="rId4" Type="http://schemas.openxmlformats.org/officeDocument/2006/relationships/webSettings" Target="webSettings.xml"/><Relationship Id="rId9" Type="http://schemas.openxmlformats.org/officeDocument/2006/relationships/hyperlink" Target="mailto:laura.myers@bdo.co.uk?subject=Food%20%26%20Drink%20seminar"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Clough</dc:creator>
  <cp:keywords/>
  <dc:description/>
  <cp:lastModifiedBy>Ashley Clough</cp:lastModifiedBy>
  <cp:revision>1</cp:revision>
  <dcterms:created xsi:type="dcterms:W3CDTF">2018-08-09T07:35:00Z</dcterms:created>
  <dcterms:modified xsi:type="dcterms:W3CDTF">2018-08-09T07:37:00Z</dcterms:modified>
</cp:coreProperties>
</file>